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2" w:type="dxa"/>
        <w:jc w:val="center"/>
        <w:tblInd w:w="0" w:type="dxa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1595"/>
        <w:gridCol w:w="4779"/>
        <w:gridCol w:w="4198"/>
      </w:tblGrid>
      <w:tr w:rsidR="0006407D" w:rsidTr="00F62046">
        <w:trPr>
          <w:trHeight w:val="195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tabs>
                <w:tab w:val="center" w:pos="749"/>
                <w:tab w:val="center" w:pos="4085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407D" w:rsidRDefault="0006407D" w:rsidP="00141552">
            <w:pPr>
              <w:tabs>
                <w:tab w:val="center" w:pos="749"/>
                <w:tab w:val="center" w:pos="4085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88365" cy="874395"/>
                  <wp:effectExtent l="0" t="0" r="6985" b="1905"/>
                  <wp:docPr id="982" name="Image 982" descr="DAAC éducation artistique et culturelle Délégation Académique aux Arts et à  la Culture d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AC éducation artistique et culturelle Délégation Académique aux Arts et à  la Culture de Ly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89" b="11305"/>
                          <a:stretch/>
                        </pic:blipFill>
                        <pic:spPr bwMode="auto">
                          <a:xfrm>
                            <a:off x="0" y="0"/>
                            <a:ext cx="8883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6407D" w:rsidRDefault="0006407D" w:rsidP="0006407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0" w:line="259" w:lineRule="auto"/>
              <w:ind w:left="36" w:firstLine="0"/>
              <w:jc w:val="center"/>
              <w:rPr>
                <w:rFonts w:ascii="Comic Sans MS" w:eastAsia="Comic Sans MS" w:hAnsi="Comic Sans MS" w:cs="Comic Sans MS"/>
                <w:b/>
                <w:color w:val="3366FF"/>
              </w:rPr>
            </w:pPr>
          </w:p>
          <w:p w:rsidR="0006407D" w:rsidRDefault="0006407D" w:rsidP="00141552">
            <w:pPr>
              <w:spacing w:after="0" w:line="259" w:lineRule="auto"/>
              <w:ind w:left="36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3366FF"/>
              </w:rPr>
              <w:t xml:space="preserve"> </w:t>
            </w:r>
            <w:r>
              <w:rPr>
                <w:b/>
              </w:rPr>
              <w:t>MC Coiffure coupe couleur</w:t>
            </w:r>
          </w:p>
          <w:p w:rsidR="0006407D" w:rsidRDefault="00DF37F4" w:rsidP="00DF37F4">
            <w:pPr>
              <w:spacing w:after="0" w:line="259" w:lineRule="auto"/>
              <w:ind w:left="67" w:right="352"/>
              <w:jc w:val="center"/>
              <w:rPr>
                <w:b/>
                <w:color w:val="3366FF"/>
              </w:rPr>
            </w:pPr>
            <w:r>
              <w:rPr>
                <w:b/>
              </w:rPr>
              <w:t>E2</w:t>
            </w:r>
            <w:r w:rsidR="0006407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06407D">
              <w:rPr>
                <w:b/>
              </w:rPr>
              <w:t xml:space="preserve"> </w:t>
            </w:r>
            <w:r>
              <w:rPr>
                <w:b/>
              </w:rPr>
              <w:t>Coloration, effets de couleurs</w:t>
            </w:r>
          </w:p>
          <w:p w:rsidR="0006407D" w:rsidRDefault="0006407D" w:rsidP="0006407D">
            <w:pPr>
              <w:spacing w:after="0" w:line="259" w:lineRule="auto"/>
              <w:ind w:left="293" w:right="352" w:firstLine="0"/>
              <w:jc w:val="center"/>
              <w:rPr>
                <w:b/>
              </w:rPr>
            </w:pPr>
          </w:p>
          <w:p w:rsidR="0006407D" w:rsidRPr="0006407D" w:rsidRDefault="0006407D" w:rsidP="0006407D">
            <w:pPr>
              <w:spacing w:after="0" w:line="259" w:lineRule="auto"/>
              <w:ind w:left="0" w:right="352" w:firstLine="0"/>
              <w:jc w:val="center"/>
              <w:rPr>
                <w:sz w:val="20"/>
              </w:rPr>
            </w:pPr>
            <w:r w:rsidRPr="0006407D">
              <w:rPr>
                <w:b/>
                <w:sz w:val="20"/>
              </w:rPr>
              <w:t>CCF – Evaluati</w:t>
            </w:r>
            <w:r w:rsidR="00DF37F4">
              <w:rPr>
                <w:b/>
                <w:sz w:val="20"/>
              </w:rPr>
              <w:t>on en milieu professionnel</w:t>
            </w:r>
          </w:p>
          <w:p w:rsidR="0006407D" w:rsidRDefault="0006407D" w:rsidP="0006407D">
            <w:pPr>
              <w:spacing w:after="0" w:line="259" w:lineRule="auto"/>
              <w:ind w:left="0" w:firstLine="0"/>
              <w:jc w:val="center"/>
            </w:pPr>
          </w:p>
          <w:p w:rsidR="0006407D" w:rsidRDefault="00DF37F4" w:rsidP="0006407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Coef</w:t>
            </w:r>
            <w:proofErr w:type="spellEnd"/>
            <w:r>
              <w:t xml:space="preserve">. 4   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Identification du candidat :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Etablissement </w:t>
            </w:r>
            <w:r w:rsidR="00F62046">
              <w:t>de formation</w:t>
            </w:r>
            <w:r>
              <w:t xml:space="preserve">: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Session : </w:t>
            </w:r>
          </w:p>
        </w:tc>
      </w:tr>
      <w:tr w:rsidR="00726E3E" w:rsidTr="002D1532">
        <w:trPr>
          <w:trHeight w:val="1772"/>
          <w:jc w:val="center"/>
        </w:trPr>
        <w:tc>
          <w:tcPr>
            <w:tcW w:w="10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E" w:rsidRPr="00726E3E" w:rsidRDefault="00726E3E" w:rsidP="00726E3E">
            <w:pPr>
              <w:spacing w:after="0" w:line="259" w:lineRule="auto"/>
              <w:ind w:left="0" w:firstLine="0"/>
              <w:jc w:val="left"/>
              <w:rPr>
                <w:rStyle w:val="markedcontent"/>
                <w:sz w:val="20"/>
                <w:szCs w:val="32"/>
              </w:rPr>
            </w:pPr>
            <w:r w:rsidRPr="00726E3E">
              <w:rPr>
                <w:rStyle w:val="markedcontent"/>
                <w:sz w:val="20"/>
                <w:szCs w:val="32"/>
              </w:rPr>
              <w:t>E</w:t>
            </w:r>
            <w:r w:rsidRPr="00726E3E">
              <w:rPr>
                <w:rStyle w:val="markedcontent"/>
                <w:sz w:val="20"/>
                <w:szCs w:val="32"/>
              </w:rPr>
              <w:t>valuation réalisée par le professionnel en fin d’année sur la base des</w:t>
            </w:r>
            <w:r w:rsidRPr="00726E3E">
              <w:rPr>
                <w:rStyle w:val="markedcontent"/>
                <w:sz w:val="20"/>
                <w:szCs w:val="32"/>
              </w:rPr>
              <w:t xml:space="preserve"> </w:t>
            </w:r>
            <w:r w:rsidRPr="00726E3E">
              <w:rPr>
                <w:rStyle w:val="markedcontent"/>
                <w:sz w:val="20"/>
                <w:szCs w:val="32"/>
              </w:rPr>
              <w:t>activités réalisées en autonomie au cours de différentes périodes en</w:t>
            </w:r>
            <w:r w:rsidRPr="00726E3E">
              <w:rPr>
                <w:rStyle w:val="markedcontent"/>
                <w:sz w:val="20"/>
                <w:szCs w:val="32"/>
              </w:rPr>
              <w:t xml:space="preserve"> </w:t>
            </w:r>
            <w:r w:rsidRPr="00726E3E">
              <w:rPr>
                <w:rStyle w:val="markedcontent"/>
                <w:sz w:val="20"/>
                <w:szCs w:val="32"/>
              </w:rPr>
              <w:t>entreprise, la note est proposée conjointement avec un formateur</w:t>
            </w:r>
          </w:p>
          <w:p w:rsidR="00726E3E" w:rsidRDefault="00726E3E" w:rsidP="00726E3E">
            <w:pPr>
              <w:spacing w:after="0" w:line="259" w:lineRule="auto"/>
              <w:ind w:left="0" w:firstLine="0"/>
              <w:jc w:val="left"/>
              <w:rPr>
                <w:rStyle w:val="markedcontent"/>
                <w:szCs w:val="32"/>
              </w:rPr>
            </w:pPr>
          </w:p>
          <w:p w:rsidR="00726E3E" w:rsidRDefault="002D1532" w:rsidP="00726E3E">
            <w:pPr>
              <w:spacing w:after="0" w:line="259" w:lineRule="auto"/>
              <w:ind w:left="0" w:firstLine="0"/>
              <w:jc w:val="left"/>
              <w:rPr>
                <w:rStyle w:val="markedcontent"/>
                <w:sz w:val="20"/>
                <w:szCs w:val="32"/>
              </w:rPr>
            </w:pPr>
            <w:r>
              <w:rPr>
                <w:rStyle w:val="markedcontent"/>
                <w:sz w:val="20"/>
                <w:szCs w:val="32"/>
              </w:rPr>
              <w:t>Activités</w:t>
            </w:r>
            <w:r w:rsidR="00726E3E">
              <w:rPr>
                <w:rStyle w:val="markedcontent"/>
                <w:sz w:val="20"/>
                <w:szCs w:val="32"/>
              </w:rPr>
              <w:t xml:space="preserve"> obligatoire</w:t>
            </w:r>
            <w:r>
              <w:rPr>
                <w:rStyle w:val="markedcontent"/>
                <w:sz w:val="20"/>
                <w:szCs w:val="32"/>
              </w:rPr>
              <w:t>s</w:t>
            </w:r>
            <w:r w:rsidR="00726E3E">
              <w:rPr>
                <w:rStyle w:val="markedcontent"/>
                <w:sz w:val="20"/>
                <w:szCs w:val="32"/>
              </w:rPr>
              <w:t> :</w:t>
            </w:r>
          </w:p>
          <w:p w:rsidR="00726E3E" w:rsidRPr="00FE68D3" w:rsidRDefault="00FE68D3" w:rsidP="00FE68D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lang w:eastAsia="en-US"/>
              </w:rPr>
              <w:t xml:space="preserve">- </w:t>
            </w:r>
            <w:r w:rsidR="00726E3E" w:rsidRPr="00FE68D3">
              <w:rPr>
                <w:rFonts w:eastAsiaTheme="minorHAnsi"/>
                <w:color w:val="auto"/>
                <w:sz w:val="20"/>
                <w:lang w:eastAsia="en-US"/>
              </w:rPr>
              <w:t xml:space="preserve">Transformation </w:t>
            </w:r>
            <w:r w:rsidR="00726E3E" w:rsidRPr="00FE68D3">
              <w:rPr>
                <w:rFonts w:eastAsiaTheme="minorHAnsi"/>
                <w:color w:val="auto"/>
                <w:sz w:val="20"/>
                <w:lang w:eastAsia="en-US"/>
              </w:rPr>
              <w:t>totale de la couleur de la chevelure d’au moins</w:t>
            </w:r>
            <w:r w:rsidR="00726E3E" w:rsidRPr="00FE68D3">
              <w:rPr>
                <w:rFonts w:eastAsiaTheme="minorHAnsi"/>
                <w:color w:val="auto"/>
                <w:sz w:val="20"/>
                <w:lang w:eastAsia="en-US"/>
              </w:rPr>
              <w:t xml:space="preserve"> </w:t>
            </w:r>
            <w:r w:rsidR="00726E3E" w:rsidRPr="00FE68D3">
              <w:rPr>
                <w:rFonts w:eastAsiaTheme="minorHAnsi"/>
                <w:color w:val="auto"/>
                <w:sz w:val="20"/>
                <w:lang w:eastAsia="en-US"/>
              </w:rPr>
              <w:t>deux hauteurs de tons par rapport à la coul</w:t>
            </w:r>
            <w:r w:rsidR="00726E3E" w:rsidRPr="00FE68D3">
              <w:rPr>
                <w:rFonts w:eastAsiaTheme="minorHAnsi"/>
                <w:color w:val="auto"/>
                <w:sz w:val="20"/>
                <w:lang w:eastAsia="en-US"/>
              </w:rPr>
              <w:t>eur dominante</w:t>
            </w:r>
          </w:p>
          <w:p w:rsidR="00726E3E" w:rsidRPr="00726E3E" w:rsidRDefault="00FE68D3" w:rsidP="00FE68D3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lang w:eastAsia="en-US"/>
              </w:rPr>
              <w:t xml:space="preserve">- </w:t>
            </w:r>
            <w:r w:rsidR="00726E3E" w:rsidRPr="00726E3E">
              <w:rPr>
                <w:rFonts w:eastAsiaTheme="minorHAnsi"/>
                <w:color w:val="auto"/>
                <w:sz w:val="20"/>
                <w:lang w:eastAsia="en-US"/>
              </w:rPr>
              <w:t>Te</w:t>
            </w:r>
            <w:r w:rsidR="00726E3E" w:rsidRPr="00726E3E">
              <w:rPr>
                <w:rFonts w:eastAsiaTheme="minorHAnsi"/>
                <w:color w:val="auto"/>
                <w:sz w:val="20"/>
                <w:lang w:eastAsia="en-US"/>
              </w:rPr>
              <w:t>chnique de coloration d’oxydation associée à des</w:t>
            </w:r>
            <w:r w:rsidR="00726E3E" w:rsidRPr="00726E3E">
              <w:rPr>
                <w:rFonts w:eastAsiaTheme="minorHAnsi"/>
                <w:color w:val="auto"/>
                <w:sz w:val="20"/>
                <w:lang w:eastAsia="en-US"/>
              </w:rPr>
              <w:t xml:space="preserve"> </w:t>
            </w:r>
            <w:r w:rsidR="00726E3E" w:rsidRPr="00726E3E">
              <w:rPr>
                <w:rFonts w:eastAsiaTheme="minorHAnsi"/>
                <w:color w:val="auto"/>
                <w:sz w:val="20"/>
                <w:lang w:eastAsia="en-US"/>
              </w:rPr>
              <w:t>effets de couleur ou des effets d’éclaircissement.</w:t>
            </w:r>
          </w:p>
        </w:tc>
      </w:tr>
    </w:tbl>
    <w:p w:rsidR="001F3869" w:rsidRDefault="001F3869" w:rsidP="00060369">
      <w:pPr>
        <w:spacing w:before="120" w:after="0" w:line="259" w:lineRule="auto"/>
        <w:ind w:left="180" w:firstLine="0"/>
        <w:jc w:val="center"/>
      </w:pPr>
      <w:r>
        <w:rPr>
          <w:i/>
          <w:sz w:val="20"/>
        </w:rPr>
        <w:t>* TB</w:t>
      </w:r>
      <w:r w:rsidR="00582D05">
        <w:rPr>
          <w:i/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 xml:space="preserve">maîtrisé)   </w:t>
      </w:r>
      <w:proofErr w:type="gramEnd"/>
      <w:r>
        <w:rPr>
          <w:i/>
          <w:sz w:val="20"/>
        </w:rPr>
        <w:t xml:space="preserve"> B (assez bien maîtrisé)    I (insuffisamment maîtrisé)    TI (non maîtrisé)</w:t>
      </w:r>
    </w:p>
    <w:tbl>
      <w:tblPr>
        <w:tblStyle w:val="TableGrid"/>
        <w:tblW w:w="10774" w:type="dxa"/>
        <w:jc w:val="center"/>
        <w:tblInd w:w="0" w:type="dxa"/>
        <w:tblLayout w:type="fixed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1838"/>
        <w:gridCol w:w="5676"/>
        <w:gridCol w:w="567"/>
        <w:gridCol w:w="567"/>
        <w:gridCol w:w="567"/>
        <w:gridCol w:w="567"/>
        <w:gridCol w:w="992"/>
      </w:tblGrid>
      <w:tr w:rsidR="0006407D" w:rsidTr="0053219B">
        <w:trPr>
          <w:trHeight w:val="2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Compétences évaluées </w:t>
            </w:r>
          </w:p>
        </w:tc>
        <w:tc>
          <w:tcPr>
            <w:tcW w:w="5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407D" w:rsidRDefault="0006407D" w:rsidP="00141552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Indicateurs d’évaluation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Niveau atteint (*)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407D" w:rsidRDefault="0006407D" w:rsidP="0014155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Note </w:t>
            </w:r>
          </w:p>
        </w:tc>
      </w:tr>
      <w:tr w:rsidR="001F3869" w:rsidTr="0053219B">
        <w:trPr>
          <w:trHeight w:val="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TI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</w:tr>
      <w:tr w:rsidR="00DF37F4" w:rsidTr="0053219B">
        <w:trPr>
          <w:trHeight w:val="2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7F4" w:rsidRDefault="00DF37F4" w:rsidP="00DF37F4">
            <w:pPr>
              <w:spacing w:after="0" w:line="240" w:lineRule="auto"/>
              <w:ind w:left="10" w:firstLine="0"/>
              <w:jc w:val="left"/>
            </w:pPr>
            <w:r>
              <w:rPr>
                <w:b/>
              </w:rPr>
              <w:t xml:space="preserve">C22 - Gérer l’environnement </w:t>
            </w:r>
          </w:p>
          <w:p w:rsidR="00DF37F4" w:rsidRDefault="00DF37F4" w:rsidP="00DF37F4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de travail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7F4" w:rsidRPr="00DF37F4" w:rsidRDefault="00DF37F4" w:rsidP="00DF37F4">
            <w:pPr>
              <w:spacing w:after="0" w:line="240" w:lineRule="auto"/>
              <w:ind w:left="0" w:right="58" w:firstLine="0"/>
            </w:pPr>
            <w:r w:rsidRPr="00DF37F4">
              <w:rPr>
                <w:b/>
                <w:sz w:val="20"/>
              </w:rPr>
              <w:t>Gestion des produits, des matériels</w:t>
            </w:r>
            <w:r>
              <w:rPr>
                <w:b/>
                <w:sz w:val="20"/>
              </w:rPr>
              <w:t> :</w:t>
            </w:r>
          </w:p>
          <w:p w:rsidR="00DF37F4" w:rsidRPr="00DF37F4" w:rsidRDefault="006D5422" w:rsidP="00DF37F4">
            <w:pPr>
              <w:spacing w:after="0" w:line="240" w:lineRule="auto"/>
              <w:ind w:left="10" w:firstLine="0"/>
              <w:jc w:val="left"/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 xml:space="preserve">Utilisation rationnelle des produits (Pas de gaspillage) </w:t>
            </w:r>
          </w:p>
          <w:p w:rsidR="00DF37F4" w:rsidRPr="00DF37F4" w:rsidRDefault="006D5422" w:rsidP="00DF37F4">
            <w:pPr>
              <w:spacing w:after="0" w:line="240" w:lineRule="auto"/>
              <w:ind w:left="10" w:firstLine="0"/>
              <w:jc w:val="left"/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>U</w:t>
            </w:r>
            <w:r>
              <w:rPr>
                <w:sz w:val="20"/>
              </w:rPr>
              <w:t>tilisation adaptée</w:t>
            </w:r>
            <w:r w:rsidR="00DF37F4" w:rsidRPr="00DF37F4">
              <w:rPr>
                <w:sz w:val="20"/>
              </w:rPr>
              <w:t xml:space="preserve"> des matériels </w:t>
            </w:r>
          </w:p>
          <w:p w:rsidR="00DF37F4" w:rsidRPr="00DF37F4" w:rsidRDefault="006D5422" w:rsidP="00DF37F4">
            <w:pPr>
              <w:spacing w:after="0" w:line="240" w:lineRule="auto"/>
              <w:ind w:left="10" w:firstLine="0"/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 xml:space="preserve">Suivi du stock des produits, signalement des manques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4"/>
              </w:rPr>
              <w:t xml:space="preserve">/ 2 </w:t>
            </w:r>
          </w:p>
        </w:tc>
      </w:tr>
      <w:tr w:rsidR="00DF37F4" w:rsidTr="0053219B">
        <w:trPr>
          <w:trHeight w:val="2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4" w:rsidRDefault="00DF37F4" w:rsidP="00DF37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7F4" w:rsidRDefault="006D5422" w:rsidP="00DF37F4">
            <w:pPr>
              <w:spacing w:after="0" w:line="240" w:lineRule="auto"/>
              <w:ind w:left="1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 xml:space="preserve">Prise en compte des principes d’économie de l’eau, des énergies  </w:t>
            </w:r>
          </w:p>
          <w:p w:rsidR="006D5422" w:rsidRPr="00DF37F4" w:rsidRDefault="006D5422" w:rsidP="00DF37F4">
            <w:pPr>
              <w:spacing w:after="0" w:line="240" w:lineRule="auto"/>
              <w:ind w:left="10" w:firstLine="0"/>
              <w:jc w:val="left"/>
            </w:pPr>
            <w:r>
              <w:rPr>
                <w:sz w:val="20"/>
              </w:rPr>
              <w:t xml:space="preserve">- </w:t>
            </w:r>
            <w:r w:rsidRPr="00DF37F4">
              <w:rPr>
                <w:sz w:val="20"/>
              </w:rPr>
              <w:t>Respect du tri des déchets</w:t>
            </w:r>
          </w:p>
          <w:p w:rsidR="00DF37F4" w:rsidRPr="00DF37F4" w:rsidRDefault="006D5422" w:rsidP="006D5422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 xml:space="preserve">Respect des règles d’ergonomie, de sécurité (Touche d’essai, port des gants…)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4"/>
              </w:rPr>
              <w:t xml:space="preserve">/ 2 </w:t>
            </w:r>
          </w:p>
          <w:p w:rsidR="00DF37F4" w:rsidRDefault="00DF37F4" w:rsidP="00DF37F4">
            <w:pPr>
              <w:spacing w:after="0" w:line="259" w:lineRule="auto"/>
              <w:ind w:left="0" w:right="67" w:firstLine="0"/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37F4" w:rsidTr="0053219B">
        <w:trPr>
          <w:trHeight w:val="2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C31 – Mettre en œuvre les techniques de coloration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422" w:rsidRDefault="00DF37F4" w:rsidP="00DF37F4">
            <w:pPr>
              <w:spacing w:after="0" w:line="240" w:lineRule="auto"/>
              <w:ind w:left="10" w:firstLine="0"/>
              <w:jc w:val="left"/>
              <w:rPr>
                <w:sz w:val="20"/>
              </w:rPr>
            </w:pPr>
            <w:r w:rsidRPr="00DF37F4">
              <w:rPr>
                <w:sz w:val="20"/>
              </w:rPr>
              <w:t>Choix pertinent des techniques et des produits au regard</w:t>
            </w:r>
            <w:r w:rsidR="006D5422">
              <w:rPr>
                <w:sz w:val="20"/>
              </w:rPr>
              <w:t xml:space="preserve"> : </w:t>
            </w:r>
          </w:p>
          <w:p w:rsidR="006D5422" w:rsidRDefault="006D5422" w:rsidP="00DF37F4">
            <w:pPr>
              <w:spacing w:after="0" w:line="240" w:lineRule="auto"/>
              <w:ind w:left="10"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="00DF37F4" w:rsidRPr="00DF37F4">
              <w:rPr>
                <w:sz w:val="20"/>
              </w:rPr>
              <w:t xml:space="preserve"> du diagnostic (règles de colorimétrie…)</w:t>
            </w:r>
          </w:p>
          <w:p w:rsidR="00DF37F4" w:rsidRPr="00DF37F4" w:rsidRDefault="006D5422" w:rsidP="006D5422">
            <w:pPr>
              <w:spacing w:after="0" w:line="240" w:lineRule="auto"/>
              <w:ind w:left="10" w:firstLine="0"/>
              <w:jc w:val="left"/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 xml:space="preserve">des attentes du client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right="68" w:firstLine="0"/>
              <w:jc w:val="right"/>
            </w:pPr>
            <w:r>
              <w:rPr>
                <w:b/>
                <w:sz w:val="24"/>
              </w:rPr>
              <w:t xml:space="preserve">/ 5 </w:t>
            </w:r>
          </w:p>
        </w:tc>
      </w:tr>
      <w:tr w:rsidR="00DF37F4" w:rsidTr="0053219B">
        <w:trPr>
          <w:trHeight w:val="2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F4" w:rsidRDefault="00DF37F4" w:rsidP="00DF37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Pr="00DF37F4" w:rsidRDefault="00FE68D3" w:rsidP="00FE68D3">
            <w:pPr>
              <w:spacing w:after="0" w:line="240" w:lineRule="auto"/>
              <w:ind w:left="10" w:firstLine="0"/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>Respect des protocoles</w:t>
            </w:r>
            <w:r>
              <w:rPr>
                <w:sz w:val="20"/>
              </w:rPr>
              <w:t xml:space="preserve"> : </w:t>
            </w:r>
            <w:r w:rsidR="00DF37F4" w:rsidRPr="00DF37F4">
              <w:rPr>
                <w:sz w:val="20"/>
              </w:rPr>
              <w:t>préparation</w:t>
            </w:r>
            <w:r>
              <w:rPr>
                <w:sz w:val="20"/>
              </w:rPr>
              <w:t xml:space="preserve"> (suivi recommandations notice)</w:t>
            </w:r>
            <w:r w:rsidR="00DF37F4" w:rsidRPr="00DF37F4">
              <w:rPr>
                <w:sz w:val="20"/>
              </w:rPr>
              <w:t xml:space="preserve">, application, émulsion, rinçage…) </w:t>
            </w:r>
          </w:p>
          <w:p w:rsidR="00DF37F4" w:rsidRDefault="00FE68D3" w:rsidP="00DF37F4">
            <w:pPr>
              <w:spacing w:after="0" w:line="240" w:lineRule="auto"/>
              <w:ind w:left="1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F37F4" w:rsidRPr="00DF37F4">
              <w:rPr>
                <w:sz w:val="20"/>
              </w:rPr>
              <w:t xml:space="preserve">Respect des temps (application, pause) </w:t>
            </w:r>
          </w:p>
          <w:p w:rsidR="00DF37F4" w:rsidRPr="00FE68D3" w:rsidRDefault="00FE68D3" w:rsidP="00FE68D3">
            <w:pPr>
              <w:spacing w:after="0" w:line="240" w:lineRule="auto"/>
              <w:ind w:left="10" w:firstLine="0"/>
              <w:jc w:val="left"/>
            </w:pPr>
            <w:r>
              <w:rPr>
                <w:sz w:val="20"/>
              </w:rPr>
              <w:t>- Maîtrise des techniques : respect des zones d’application, imprégnation correcte des zones à traiter, émulsion, rinçage)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right="67" w:firstLine="0"/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/ 6 </w:t>
            </w:r>
          </w:p>
        </w:tc>
      </w:tr>
      <w:tr w:rsidR="00DF37F4" w:rsidTr="0053219B">
        <w:trPr>
          <w:trHeight w:val="2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F4" w:rsidRDefault="00DF37F4" w:rsidP="00DF37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DF37F4">
              <w:rPr>
                <w:sz w:val="20"/>
              </w:rPr>
              <w:t>Conformité du résultat par rapport aux attentes</w:t>
            </w:r>
            <w:r w:rsidR="006D5422">
              <w:rPr>
                <w:sz w:val="20"/>
              </w:rPr>
              <w:t> :</w:t>
            </w:r>
          </w:p>
          <w:p w:rsidR="006D5422" w:rsidRDefault="006D5422" w:rsidP="006D542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Transformation totale de la chevelure</w:t>
            </w:r>
          </w:p>
          <w:p w:rsidR="006D5422" w:rsidRDefault="006D5422" w:rsidP="006D542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Deux tons d’écart</w:t>
            </w:r>
          </w:p>
          <w:p w:rsidR="006D5422" w:rsidRPr="006D5422" w:rsidRDefault="006D5422" w:rsidP="0053219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Effet de couleurs</w:t>
            </w:r>
            <w:r w:rsidR="0053219B">
              <w:rPr>
                <w:sz w:val="20"/>
              </w:rPr>
              <w:t xml:space="preserve">  </w:t>
            </w:r>
            <w:r>
              <w:rPr>
                <w:sz w:val="20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060369">
            <w:pPr>
              <w:spacing w:after="0" w:line="259" w:lineRule="auto"/>
              <w:ind w:left="0" w:right="67" w:firstLine="0"/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/ </w:t>
            </w:r>
            <w:r w:rsidR="0006036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82D05" w:rsidTr="0053219B">
        <w:trPr>
          <w:trHeight w:val="20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D05" w:rsidRDefault="00582D05" w:rsidP="00DF37F4">
            <w:pPr>
              <w:spacing w:after="0" w:line="259" w:lineRule="auto"/>
              <w:ind w:left="10" w:firstLine="0"/>
              <w:jc w:val="left"/>
              <w:rPr>
                <w:b/>
              </w:rPr>
            </w:pPr>
            <w:r w:rsidRPr="00E26AA5">
              <w:rPr>
                <w:b/>
                <w:i/>
                <w:sz w:val="20"/>
              </w:rPr>
              <w:t>Pénalités</w:t>
            </w:r>
            <w:r>
              <w:rPr>
                <w:b/>
                <w:i/>
                <w:sz w:val="20"/>
              </w:rPr>
              <w:t xml:space="preserve"> : </w:t>
            </w:r>
          </w:p>
          <w:p w:rsidR="00582D05" w:rsidRPr="00582D05" w:rsidRDefault="00582D05" w:rsidP="0053219B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Non maîtrise de la transformation totale de la chevelure ou non maîtrise de deux tons d’écart ou non maîtrise de l’effet couleur : points C31 divisés par 2</w:t>
            </w:r>
            <w:r w:rsidR="0053219B">
              <w:rPr>
                <w:i/>
                <w:sz w:val="20"/>
              </w:rPr>
              <w:t xml:space="preserve">                 -                       </w:t>
            </w:r>
            <w:r>
              <w:rPr>
                <w:i/>
                <w:sz w:val="20"/>
              </w:rPr>
              <w:t>2 items non maîtrisés</w:t>
            </w:r>
            <w:r>
              <w:rPr>
                <w:i/>
                <w:sz w:val="20"/>
              </w:rPr>
              <w:t> :</w:t>
            </w:r>
            <w:r>
              <w:rPr>
                <w:i/>
                <w:sz w:val="20"/>
              </w:rPr>
              <w:t xml:space="preserve"> zéro à </w:t>
            </w:r>
            <w:r>
              <w:rPr>
                <w:i/>
                <w:sz w:val="20"/>
              </w:rPr>
              <w:t xml:space="preserve"> C31 </w:t>
            </w:r>
          </w:p>
        </w:tc>
      </w:tr>
      <w:tr w:rsidR="00DF37F4" w:rsidTr="0053219B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>C41 – Evaluer la qualité de la prestation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Pr="00DF37F4" w:rsidRDefault="00DF37F4" w:rsidP="00DF37F4">
            <w:pPr>
              <w:spacing w:after="0" w:line="240" w:lineRule="auto"/>
              <w:ind w:left="10" w:firstLine="0"/>
              <w:jc w:val="left"/>
            </w:pPr>
            <w:r w:rsidRPr="00DF37F4">
              <w:rPr>
                <w:sz w:val="20"/>
              </w:rPr>
              <w:t xml:space="preserve">Autoévaluation objective des prestations réalisées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DF37F4" w:rsidP="00DF37F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F4" w:rsidRDefault="00060369" w:rsidP="00DF37F4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4"/>
              </w:rPr>
              <w:t>/ 2</w:t>
            </w:r>
            <w:r w:rsidR="00DF37F4">
              <w:rPr>
                <w:b/>
                <w:sz w:val="24"/>
              </w:rPr>
              <w:t xml:space="preserve"> </w:t>
            </w:r>
          </w:p>
        </w:tc>
      </w:tr>
    </w:tbl>
    <w:p w:rsidR="00DF37F4" w:rsidRDefault="00DF37F4"/>
    <w:tbl>
      <w:tblPr>
        <w:tblStyle w:val="TableGrid"/>
        <w:tblW w:w="10768" w:type="dxa"/>
        <w:jc w:val="center"/>
        <w:tblInd w:w="0" w:type="dxa"/>
        <w:tblLayout w:type="fixed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4248"/>
        <w:gridCol w:w="4394"/>
        <w:gridCol w:w="2126"/>
      </w:tblGrid>
      <w:tr w:rsidR="0006407D" w:rsidTr="0032069F">
        <w:trPr>
          <w:trHeight w:val="20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F38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        </w:t>
            </w:r>
          </w:p>
          <w:p w:rsidR="0006407D" w:rsidRDefault="0006407D" w:rsidP="00141552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4"/>
              </w:rPr>
              <w:t xml:space="preserve">TOTAL             / 20 </w:t>
            </w:r>
          </w:p>
        </w:tc>
      </w:tr>
      <w:tr w:rsidR="00DF37F4" w:rsidTr="0032069F">
        <w:trPr>
          <w:trHeight w:val="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F62046">
              <w:rPr>
                <w:b/>
                <w:sz w:val="20"/>
              </w:rPr>
              <w:t>Nom, Prénom, signature du professionnel</w:t>
            </w: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F62046">
              <w:rPr>
                <w:b/>
                <w:sz w:val="20"/>
              </w:rPr>
              <w:t>Nom, prénom, signature du formateur</w:t>
            </w: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F4" w:rsidRPr="00F62046" w:rsidRDefault="00DF37F4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DF37F4" w:rsidRPr="00F62046" w:rsidRDefault="00DF37F4" w:rsidP="00BA56D9">
            <w:pPr>
              <w:spacing w:before="120" w:after="360" w:line="259" w:lineRule="auto"/>
              <w:ind w:left="0" w:firstLine="0"/>
              <w:jc w:val="left"/>
              <w:rPr>
                <w:b/>
                <w:sz w:val="20"/>
              </w:rPr>
            </w:pPr>
            <w:r w:rsidRPr="00F62046">
              <w:rPr>
                <w:b/>
                <w:sz w:val="20"/>
              </w:rPr>
              <w:t xml:space="preserve">Date : </w:t>
            </w:r>
          </w:p>
        </w:tc>
      </w:tr>
      <w:tr w:rsidR="00BA56D9" w:rsidTr="0032069F">
        <w:trPr>
          <w:trHeight w:val="20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46" w:rsidRPr="00D40A38" w:rsidRDefault="00F62046" w:rsidP="00F62046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D40A38">
              <w:rPr>
                <w:b/>
                <w:i/>
                <w:sz w:val="20"/>
              </w:rPr>
              <w:t xml:space="preserve">Justification </w:t>
            </w:r>
            <w:r>
              <w:rPr>
                <w:b/>
                <w:i/>
                <w:sz w:val="20"/>
              </w:rPr>
              <w:t>si note in</w:t>
            </w:r>
            <w:r w:rsidRPr="00D40A38">
              <w:rPr>
                <w:b/>
                <w:i/>
                <w:sz w:val="20"/>
              </w:rPr>
              <w:t>férieure à 10</w:t>
            </w:r>
            <w:r>
              <w:rPr>
                <w:b/>
                <w:i/>
                <w:sz w:val="20"/>
              </w:rPr>
              <w:t>/20</w:t>
            </w:r>
          </w:p>
          <w:p w:rsidR="00BA56D9" w:rsidRPr="00F62046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F62046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F62046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53219B" w:rsidRPr="00F62046" w:rsidRDefault="0053219B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53219B" w:rsidRDefault="0053219B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F62046" w:rsidRPr="00F62046" w:rsidRDefault="00F62046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</w:tbl>
    <w:p w:rsidR="00DF37F4" w:rsidRPr="00F62046" w:rsidRDefault="00DF37F4" w:rsidP="0053219B">
      <w:pPr>
        <w:spacing w:after="0" w:line="259" w:lineRule="auto"/>
        <w:jc w:val="left"/>
        <w:rPr>
          <w:sz w:val="2"/>
        </w:rPr>
      </w:pPr>
    </w:p>
    <w:sectPr w:rsidR="00DF37F4" w:rsidRPr="00F62046" w:rsidSect="0053219B">
      <w:pgSz w:w="11906" w:h="16838" w:code="9"/>
      <w:pgMar w:top="851" w:right="851" w:bottom="284" w:left="85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AC"/>
    <w:multiLevelType w:val="hybridMultilevel"/>
    <w:tmpl w:val="5C1C113E"/>
    <w:lvl w:ilvl="0" w:tplc="AA4251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E54"/>
    <w:multiLevelType w:val="hybridMultilevel"/>
    <w:tmpl w:val="B4A6B0A0"/>
    <w:lvl w:ilvl="0" w:tplc="E85A4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61D6"/>
    <w:multiLevelType w:val="hybridMultilevel"/>
    <w:tmpl w:val="EEE6AC50"/>
    <w:lvl w:ilvl="0" w:tplc="1ADA75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7D"/>
    <w:rsid w:val="00060369"/>
    <w:rsid w:val="0006407D"/>
    <w:rsid w:val="00167F48"/>
    <w:rsid w:val="001F3869"/>
    <w:rsid w:val="002D1532"/>
    <w:rsid w:val="0032069F"/>
    <w:rsid w:val="0053219B"/>
    <w:rsid w:val="00582D05"/>
    <w:rsid w:val="006D5422"/>
    <w:rsid w:val="00726E3E"/>
    <w:rsid w:val="0095659F"/>
    <w:rsid w:val="00BA56D9"/>
    <w:rsid w:val="00BE6A48"/>
    <w:rsid w:val="00DF37F4"/>
    <w:rsid w:val="00F61AB0"/>
    <w:rsid w:val="00F6204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A68E"/>
  <w15:chartTrackingRefBased/>
  <w15:docId w15:val="{F57B11F1-A9F8-4BF3-BEFE-78C2C521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7D"/>
    <w:pPr>
      <w:spacing w:after="5" w:line="249" w:lineRule="auto"/>
      <w:ind w:left="303" w:hanging="10"/>
      <w:jc w:val="both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6407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Policepardfaut"/>
    <w:rsid w:val="00726E3E"/>
  </w:style>
  <w:style w:type="paragraph" w:styleId="Paragraphedeliste">
    <w:name w:val="List Paragraph"/>
    <w:basedOn w:val="Normal"/>
    <w:uiPriority w:val="34"/>
    <w:qFormat/>
    <w:rsid w:val="00726E3E"/>
    <w:pPr>
      <w:ind w:left="720"/>
      <w:contextualSpacing/>
    </w:pPr>
  </w:style>
  <w:style w:type="paragraph" w:customStyle="1" w:styleId="Default">
    <w:name w:val="Default"/>
    <w:rsid w:val="00582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11</cp:revision>
  <dcterms:created xsi:type="dcterms:W3CDTF">2022-01-11T17:34:00Z</dcterms:created>
  <dcterms:modified xsi:type="dcterms:W3CDTF">2022-06-10T14:25:00Z</dcterms:modified>
</cp:coreProperties>
</file>